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A97" w:rsidRPr="003E4623" w:rsidRDefault="00195A97" w:rsidP="00195A97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143BAE">
        <w:rPr>
          <w:rFonts w:ascii="Arial" w:hAnsi="Arial" w:cs="Arial"/>
          <w:b/>
          <w:bCs/>
          <w:noProof/>
          <w:sz w:val="24"/>
          <w:szCs w:val="24"/>
        </w:rPr>
        <w:t>3GPP T</w:t>
      </w:r>
      <w:bookmarkStart w:id="2" w:name="_GoBack"/>
      <w:r w:rsidRPr="003E4623">
        <w:rPr>
          <w:rFonts w:ascii="Arial" w:hAnsi="Arial" w:cs="Arial"/>
          <w:b/>
          <w:bCs/>
          <w:noProof/>
          <w:sz w:val="24"/>
          <w:szCs w:val="24"/>
        </w:rPr>
        <w:t>SG RAN WG1 Meeting #</w:t>
      </w:r>
      <w:r w:rsidRPr="003E462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87</w:t>
      </w:r>
      <w:r w:rsidRPr="003E462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3E462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2359D0" w:rsidRPr="003E4623">
        <w:rPr>
          <w:rFonts w:ascii="Arial" w:hAnsi="Arial" w:cs="Arial"/>
          <w:b/>
          <w:bCs/>
          <w:sz w:val="26"/>
          <w:szCs w:val="26"/>
        </w:rPr>
        <w:t>R1-1612933</w:t>
      </w:r>
    </w:p>
    <w:p w:rsidR="00195A97" w:rsidRPr="003E4623" w:rsidRDefault="00195A97" w:rsidP="00195A97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3E4623">
        <w:rPr>
          <w:rFonts w:ascii="Arial" w:hAnsi="Arial" w:cs="Arial"/>
          <w:b/>
          <w:bCs/>
          <w:noProof/>
          <w:sz w:val="24"/>
          <w:szCs w:val="24"/>
        </w:rPr>
        <w:t>Reno, Nevada, USA, 14</w:t>
      </w:r>
      <w:r w:rsidRPr="003E4623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3E4623">
        <w:rPr>
          <w:rFonts w:ascii="Arial" w:hAnsi="Arial" w:cs="Arial"/>
          <w:b/>
          <w:bCs/>
          <w:noProof/>
          <w:sz w:val="24"/>
          <w:szCs w:val="24"/>
        </w:rPr>
        <w:t xml:space="preserve"> - 18</w:t>
      </w:r>
      <w:r w:rsidRPr="003E4623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3E4623">
        <w:rPr>
          <w:rFonts w:ascii="Arial" w:hAnsi="Arial" w:cs="Arial"/>
          <w:b/>
          <w:bCs/>
          <w:noProof/>
          <w:sz w:val="24"/>
          <w:szCs w:val="24"/>
        </w:rPr>
        <w:t xml:space="preserve"> November 2016</w:t>
      </w:r>
    </w:p>
    <w:p w:rsidR="00195A97" w:rsidRPr="003E4623" w:rsidRDefault="00195A97" w:rsidP="00195A97">
      <w:pPr>
        <w:pStyle w:val="TdocHeader2"/>
        <w:jc w:val="left"/>
        <w:rPr>
          <w:sz w:val="20"/>
        </w:rPr>
      </w:pPr>
    </w:p>
    <w:p w:rsidR="00195A97" w:rsidRPr="003E4623" w:rsidRDefault="00195A97" w:rsidP="00195A97">
      <w:pPr>
        <w:pStyle w:val="TdocHeader2"/>
        <w:jc w:val="left"/>
        <w:rPr>
          <w:sz w:val="20"/>
          <w:lang w:val="en-US"/>
        </w:rPr>
      </w:pPr>
      <w:r w:rsidRPr="003E4623">
        <w:rPr>
          <w:sz w:val="20"/>
          <w:lang w:val="en-US"/>
        </w:rPr>
        <w:t xml:space="preserve">Source: </w:t>
      </w:r>
      <w:r w:rsidRPr="003E4623">
        <w:rPr>
          <w:sz w:val="20"/>
          <w:lang w:val="en-US"/>
        </w:rPr>
        <w:tab/>
        <w:t>Ericsson</w:t>
      </w:r>
    </w:p>
    <w:bookmarkEnd w:id="2"/>
    <w:p w:rsidR="00005DBD" w:rsidRPr="00195A97" w:rsidRDefault="00005DBD" w:rsidP="00005DBD">
      <w:pPr>
        <w:pStyle w:val="TdocHeader2"/>
        <w:jc w:val="left"/>
        <w:rPr>
          <w:sz w:val="20"/>
          <w:lang w:val="en-US"/>
        </w:rPr>
      </w:pPr>
      <w:r w:rsidRPr="00195A97">
        <w:rPr>
          <w:sz w:val="20"/>
          <w:lang w:val="en-US"/>
        </w:rPr>
        <w:t>Title:</w:t>
      </w:r>
      <w:bookmarkStart w:id="3" w:name="Title"/>
      <w:bookmarkEnd w:id="3"/>
      <w:r w:rsidRPr="00195A97">
        <w:rPr>
          <w:sz w:val="20"/>
          <w:lang w:val="en-US"/>
        </w:rPr>
        <w:tab/>
      </w:r>
      <w:r w:rsidR="003B478E" w:rsidRPr="00195A97">
        <w:rPr>
          <w:sz w:val="20"/>
          <w:lang w:val="en-US"/>
        </w:rPr>
        <w:t xml:space="preserve">Details about </w:t>
      </w:r>
      <w:r w:rsidR="006918B1" w:rsidRPr="00195A97">
        <w:rPr>
          <w:sz w:val="20"/>
          <w:lang w:val="en-US"/>
        </w:rPr>
        <w:t>CBR measurement</w:t>
      </w:r>
    </w:p>
    <w:p w:rsidR="00005DBD" w:rsidRPr="00195A97" w:rsidRDefault="00005DBD" w:rsidP="00005DBD">
      <w:pPr>
        <w:pStyle w:val="TdocHeader2"/>
        <w:jc w:val="left"/>
        <w:rPr>
          <w:sz w:val="20"/>
          <w:lang w:val="en-US"/>
        </w:rPr>
      </w:pPr>
      <w:r w:rsidRPr="00195A97">
        <w:rPr>
          <w:sz w:val="20"/>
          <w:lang w:val="en-US"/>
        </w:rPr>
        <w:t>Agenda Item:</w:t>
      </w:r>
      <w:r w:rsidRPr="00195A97">
        <w:rPr>
          <w:sz w:val="20"/>
          <w:lang w:val="en-US"/>
        </w:rPr>
        <w:tab/>
      </w:r>
      <w:r w:rsidR="00195A97" w:rsidRPr="003E4623">
        <w:rPr>
          <w:sz w:val="20"/>
          <w:lang w:val="en-US"/>
        </w:rPr>
        <w:t>6</w:t>
      </w:r>
      <w:r w:rsidR="00EB635F" w:rsidRPr="003E4623">
        <w:rPr>
          <w:sz w:val="20"/>
          <w:lang w:val="en-US"/>
        </w:rPr>
        <w:t>.2.1.</w:t>
      </w:r>
      <w:r w:rsidR="00195A97" w:rsidRPr="003E4623">
        <w:rPr>
          <w:sz w:val="20"/>
          <w:lang w:val="en-US"/>
        </w:rPr>
        <w:t>4</w:t>
      </w:r>
      <w:r w:rsidR="00AF72B7" w:rsidRPr="003E4623">
        <w:rPr>
          <w:sz w:val="20"/>
          <w:lang w:val="en-US"/>
        </w:rPr>
        <w:t>.1</w:t>
      </w:r>
    </w:p>
    <w:p w:rsidR="00005DBD" w:rsidRPr="00DB1B5A" w:rsidRDefault="00005DBD" w:rsidP="00005DBD">
      <w:pPr>
        <w:pStyle w:val="TdocHeader2"/>
        <w:jc w:val="left"/>
        <w:rPr>
          <w:sz w:val="20"/>
          <w:lang w:val="en-US"/>
        </w:rPr>
      </w:pPr>
      <w:r w:rsidRPr="00195A97">
        <w:rPr>
          <w:sz w:val="20"/>
          <w:lang w:val="en-US"/>
        </w:rPr>
        <w:t>Document for:</w:t>
      </w:r>
      <w:r w:rsidRPr="00195A97">
        <w:rPr>
          <w:sz w:val="20"/>
          <w:lang w:val="en-US"/>
        </w:rPr>
        <w:tab/>
        <w:t>Discussion and Decision</w:t>
      </w:r>
    </w:p>
    <w:bookmarkEnd w:id="0"/>
    <w:bookmarkEnd w:id="1"/>
    <w:p w:rsidR="00D77223" w:rsidRPr="00DB1B5A" w:rsidRDefault="00D77223" w:rsidP="008A63F4">
      <w:pPr>
        <w:pStyle w:val="Heading1"/>
      </w:pPr>
      <w:r w:rsidRPr="00DB1B5A">
        <w:t>Introduction</w:t>
      </w:r>
    </w:p>
    <w:p w:rsidR="002F6F3F" w:rsidRDefault="002F6F3F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In RAN#73 the WID of LTE-based V2X Services was updated to include the following objective</w:t>
      </w:r>
      <w:r w:rsidR="007A574E">
        <w:rPr>
          <w:sz w:val="20"/>
          <w:szCs w:val="20"/>
        </w:rPr>
        <w:t xml:space="preserve"> </w:t>
      </w:r>
      <w:r w:rsidR="007A574E">
        <w:rPr>
          <w:sz w:val="20"/>
          <w:szCs w:val="20"/>
        </w:rPr>
        <w:fldChar w:fldCharType="begin"/>
      </w:r>
      <w:r w:rsidR="007A574E">
        <w:rPr>
          <w:sz w:val="20"/>
          <w:szCs w:val="20"/>
        </w:rPr>
        <w:instrText xml:space="preserve"> REF _Ref462752889 \r \h </w:instrText>
      </w:r>
      <w:r w:rsidR="007A574E">
        <w:rPr>
          <w:sz w:val="20"/>
          <w:szCs w:val="20"/>
        </w:rPr>
      </w:r>
      <w:r w:rsidR="007A574E">
        <w:rPr>
          <w:sz w:val="20"/>
          <w:szCs w:val="20"/>
        </w:rPr>
        <w:fldChar w:fldCharType="separate"/>
      </w:r>
      <w:r w:rsidR="002107B0">
        <w:rPr>
          <w:sz w:val="20"/>
          <w:szCs w:val="20"/>
        </w:rPr>
        <w:t>[1]</w:t>
      </w:r>
      <w:r w:rsidR="007A574E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: </w:t>
      </w:r>
    </w:p>
    <w:p w:rsidR="002F6F3F" w:rsidRPr="00805C09" w:rsidRDefault="002F6F3F" w:rsidP="005360AD">
      <w:pPr>
        <w:pStyle w:val="BodyText"/>
        <w:spacing w:after="240"/>
        <w:jc w:val="both"/>
        <w:rPr>
          <w:i/>
          <w:sz w:val="20"/>
          <w:szCs w:val="20"/>
        </w:rPr>
      </w:pPr>
      <w:r>
        <w:rPr>
          <w:sz w:val="20"/>
          <w:szCs w:val="20"/>
        </w:rPr>
        <w:t>“</w:t>
      </w:r>
      <w:r w:rsidRPr="00805C09">
        <w:rPr>
          <w:i/>
          <w:sz w:val="20"/>
          <w:szCs w:val="20"/>
        </w:rPr>
        <w:t>6)</w:t>
      </w:r>
      <w:r w:rsidRPr="00805C09">
        <w:rPr>
          <w:i/>
          <w:sz w:val="20"/>
          <w:szCs w:val="20"/>
        </w:rPr>
        <w:tab/>
        <w:t xml:space="preserve"> To specify other enhancements to PC5/</w:t>
      </w:r>
      <w:proofErr w:type="spellStart"/>
      <w:r w:rsidRPr="00805C09">
        <w:rPr>
          <w:i/>
          <w:sz w:val="20"/>
          <w:szCs w:val="20"/>
        </w:rPr>
        <w:t>Uu</w:t>
      </w:r>
      <w:proofErr w:type="spellEnd"/>
      <w:r w:rsidRPr="00805C09">
        <w:rPr>
          <w:i/>
          <w:sz w:val="20"/>
          <w:szCs w:val="20"/>
        </w:rPr>
        <w:t xml:space="preserve"> for V2X on the following aspects:</w:t>
      </w:r>
    </w:p>
    <w:p w:rsidR="002F6F3F" w:rsidRPr="00805C09" w:rsidRDefault="002F6F3F" w:rsidP="00805C09">
      <w:pPr>
        <w:pStyle w:val="BodyText"/>
        <w:spacing w:after="240"/>
        <w:ind w:left="284"/>
        <w:jc w:val="both"/>
        <w:rPr>
          <w:i/>
          <w:sz w:val="20"/>
          <w:szCs w:val="20"/>
        </w:rPr>
      </w:pPr>
      <w:r w:rsidRPr="00805C09">
        <w:rPr>
          <w:i/>
          <w:sz w:val="20"/>
          <w:szCs w:val="20"/>
        </w:rPr>
        <w:t>…</w:t>
      </w:r>
    </w:p>
    <w:p w:rsidR="002F6F3F" w:rsidRPr="00805C09" w:rsidRDefault="002F6F3F" w:rsidP="00805C09">
      <w:pPr>
        <w:pStyle w:val="BodyText"/>
        <w:spacing w:after="240"/>
        <w:ind w:left="284"/>
        <w:jc w:val="both"/>
        <w:rPr>
          <w:i/>
          <w:sz w:val="20"/>
          <w:szCs w:val="20"/>
          <w:lang w:val="en-GB"/>
        </w:rPr>
      </w:pPr>
      <w:r w:rsidRPr="00805C09">
        <w:rPr>
          <w:i/>
          <w:sz w:val="20"/>
          <w:szCs w:val="20"/>
          <w:lang w:val="en-GB"/>
        </w:rPr>
        <w:t>d)</w:t>
      </w:r>
      <w:r w:rsidRPr="00805C09">
        <w:rPr>
          <w:i/>
          <w:sz w:val="20"/>
          <w:szCs w:val="20"/>
          <w:lang w:val="en-GB"/>
        </w:rPr>
        <w:tab/>
        <w:t>Congestion control for PC5-based V2X including load balancing across multiple carriers [RAN1, RAN2, RAN4]</w:t>
      </w:r>
    </w:p>
    <w:p w:rsidR="002F6F3F" w:rsidRPr="00DB1B5A" w:rsidRDefault="002F6F3F" w:rsidP="00805C09">
      <w:pPr>
        <w:pStyle w:val="BodyText"/>
        <w:spacing w:after="240"/>
        <w:ind w:left="284"/>
        <w:jc w:val="both"/>
        <w:rPr>
          <w:sz w:val="20"/>
          <w:szCs w:val="20"/>
        </w:rPr>
      </w:pPr>
      <w:r w:rsidRPr="00805C09">
        <w:rPr>
          <w:i/>
          <w:sz w:val="20"/>
          <w:szCs w:val="20"/>
        </w:rPr>
        <w:t>…</w:t>
      </w:r>
      <w:r>
        <w:rPr>
          <w:sz w:val="20"/>
          <w:szCs w:val="20"/>
        </w:rPr>
        <w:t>”</w:t>
      </w:r>
    </w:p>
    <w:p w:rsidR="00423C94" w:rsidRDefault="00423C94" w:rsidP="00423C94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RAN1#86bis agreed on the following:</w:t>
      </w:r>
    </w:p>
    <w:p w:rsidR="00423C94" w:rsidRPr="00313EFD" w:rsidRDefault="00423C94" w:rsidP="00423C94">
      <w:pPr>
        <w:numPr>
          <w:ilvl w:val="0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Channel busy ratio (CBR) is defined for the c</w:t>
      </w:r>
      <w:r w:rsidRPr="00313EFD">
        <w:rPr>
          <w:rFonts w:eastAsia="Malgun Gothic"/>
          <w:i/>
          <w:lang w:eastAsia="ko-KR"/>
        </w:rPr>
        <w:t>ongestion measurement over PC5</w:t>
      </w:r>
      <w:r w:rsidRPr="00313EFD">
        <w:rPr>
          <w:rFonts w:eastAsia="Malgun Gothic" w:hint="eastAsia"/>
          <w:i/>
          <w:lang w:eastAsia="ko-KR"/>
        </w:rPr>
        <w:t xml:space="preserve"> in V-UEs</w:t>
      </w:r>
    </w:p>
    <w:p w:rsidR="00423C94" w:rsidRPr="00313EFD" w:rsidRDefault="00423C94" w:rsidP="00423C94">
      <w:pPr>
        <w:numPr>
          <w:ilvl w:val="1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CBR is the portion of sub-channels whose S-RSSI exceed a (pre-)configured threshold observed during (</w:t>
      </w:r>
      <w:r w:rsidRPr="00313EFD">
        <w:rPr>
          <w:rFonts w:eastAsia="Malgun Gothic" w:hint="eastAsia"/>
          <w:i/>
          <w:highlight w:val="darkYellow"/>
          <w:lang w:eastAsia="ko-KR"/>
        </w:rPr>
        <w:t>working assumption</w:t>
      </w:r>
      <w:r w:rsidRPr="00313EFD">
        <w:rPr>
          <w:rFonts w:eastAsia="Malgun Gothic" w:hint="eastAsia"/>
          <w:i/>
          <w:lang w:eastAsia="ko-KR"/>
        </w:rPr>
        <w:t xml:space="preserve">: 100 </w:t>
      </w:r>
      <w:proofErr w:type="spellStart"/>
      <w:r w:rsidRPr="00313EFD">
        <w:rPr>
          <w:rFonts w:eastAsia="Malgun Gothic" w:hint="eastAsia"/>
          <w:i/>
          <w:lang w:eastAsia="ko-KR"/>
        </w:rPr>
        <w:t>ms</w:t>
      </w:r>
      <w:proofErr w:type="spellEnd"/>
      <w:r w:rsidRPr="00313EFD">
        <w:rPr>
          <w:rFonts w:eastAsia="Malgun Gothic" w:hint="eastAsia"/>
          <w:i/>
          <w:lang w:eastAsia="ko-KR"/>
        </w:rPr>
        <w:t>).</w:t>
      </w:r>
    </w:p>
    <w:p w:rsidR="00423C94" w:rsidRPr="00313EFD" w:rsidRDefault="00423C94" w:rsidP="00423C94">
      <w:pPr>
        <w:numPr>
          <w:ilvl w:val="2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 xml:space="preserve">Only the sub-channels included in the resource pool are used for the </w:t>
      </w:r>
      <w:r w:rsidRPr="00313EFD">
        <w:rPr>
          <w:rFonts w:eastAsia="Malgun Gothic"/>
          <w:i/>
          <w:lang w:eastAsia="ko-KR"/>
        </w:rPr>
        <w:t>measurement</w:t>
      </w:r>
      <w:r w:rsidRPr="00313EFD">
        <w:rPr>
          <w:rFonts w:eastAsia="Malgun Gothic" w:hint="eastAsia"/>
          <w:i/>
          <w:lang w:eastAsia="ko-KR"/>
        </w:rPr>
        <w:t>.</w:t>
      </w:r>
    </w:p>
    <w:p w:rsidR="00423C94" w:rsidRPr="00313EFD" w:rsidRDefault="00423C94" w:rsidP="00423C94">
      <w:pPr>
        <w:numPr>
          <w:ilvl w:val="2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/>
          <w:i/>
          <w:lang w:eastAsia="ko-KR"/>
        </w:rPr>
        <w:t>FFS whether additional separated measurement is needed for SA pool.</w:t>
      </w:r>
    </w:p>
    <w:p w:rsidR="00423C94" w:rsidRPr="00313EFD" w:rsidRDefault="00423C94" w:rsidP="00423C94">
      <w:pPr>
        <w:numPr>
          <w:ilvl w:val="1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/>
          <w:i/>
          <w:lang w:eastAsia="ko-KR"/>
        </w:rPr>
        <w:t xml:space="preserve">For a UE in Mode 3, the </w:t>
      </w:r>
      <w:proofErr w:type="spellStart"/>
      <w:r w:rsidRPr="00313EFD">
        <w:rPr>
          <w:rFonts w:eastAsia="Malgun Gothic"/>
          <w:i/>
          <w:lang w:eastAsia="ko-KR"/>
        </w:rPr>
        <w:t>eNB</w:t>
      </w:r>
      <w:proofErr w:type="spellEnd"/>
      <w:r w:rsidRPr="00313EFD">
        <w:rPr>
          <w:rFonts w:eastAsia="Malgun Gothic"/>
          <w:i/>
          <w:lang w:eastAsia="ko-KR"/>
        </w:rPr>
        <w:t xml:space="preserve"> indicates a set of resources on which the UE perform this measurement</w:t>
      </w:r>
    </w:p>
    <w:p w:rsidR="00423C94" w:rsidRPr="00313EFD" w:rsidRDefault="00423C94" w:rsidP="00423C94">
      <w:pPr>
        <w:numPr>
          <w:ilvl w:val="1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For a UE in Mode 4, the measurement is pool-specific.</w:t>
      </w:r>
    </w:p>
    <w:p w:rsidR="00423C94" w:rsidRPr="00313EFD" w:rsidRDefault="00423C94" w:rsidP="00423C94">
      <w:pPr>
        <w:numPr>
          <w:ilvl w:val="2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A UE measures at least on its current TX pool(s).</w:t>
      </w:r>
    </w:p>
    <w:p w:rsidR="00423C94" w:rsidRPr="00313EFD" w:rsidRDefault="00423C94" w:rsidP="00423C94">
      <w:pPr>
        <w:numPr>
          <w:ilvl w:val="3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FFS whether a UE measures on a pool which is not its current transmission pool.</w:t>
      </w:r>
    </w:p>
    <w:p w:rsidR="00423C94" w:rsidRPr="00313EFD" w:rsidRDefault="00423C94" w:rsidP="00423C94">
      <w:pPr>
        <w:numPr>
          <w:ilvl w:val="2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RAN1 will not optimize this measurement to address the case of multiple TX pools</w:t>
      </w:r>
    </w:p>
    <w:p w:rsidR="00423C94" w:rsidRPr="00313EFD" w:rsidRDefault="00423C94" w:rsidP="00423C94">
      <w:pPr>
        <w:numPr>
          <w:ilvl w:val="0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/>
          <w:i/>
          <w:lang w:eastAsia="ko-KR"/>
        </w:rPr>
        <w:t xml:space="preserve">UE Reporting of CBR to </w:t>
      </w:r>
      <w:proofErr w:type="spellStart"/>
      <w:r w:rsidRPr="00313EFD">
        <w:rPr>
          <w:rFonts w:eastAsia="Malgun Gothic"/>
          <w:i/>
          <w:lang w:eastAsia="ko-KR"/>
        </w:rPr>
        <w:t>eNB</w:t>
      </w:r>
      <w:proofErr w:type="spellEnd"/>
      <w:r w:rsidRPr="00313EFD">
        <w:rPr>
          <w:rFonts w:eastAsia="Malgun Gothic"/>
          <w:i/>
          <w:lang w:eastAsia="ko-KR"/>
        </w:rPr>
        <w:t xml:space="preserve"> is supported</w:t>
      </w:r>
    </w:p>
    <w:p w:rsidR="00423C94" w:rsidRPr="00313EFD" w:rsidRDefault="00423C94" w:rsidP="00423C94">
      <w:pPr>
        <w:numPr>
          <w:ilvl w:val="1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/>
          <w:i/>
          <w:lang w:eastAsia="ko-KR"/>
        </w:rPr>
        <w:t xml:space="preserve">Details </w:t>
      </w:r>
      <w:r w:rsidRPr="00313EFD">
        <w:rPr>
          <w:rFonts w:eastAsia="Malgun Gothic" w:hint="eastAsia"/>
          <w:i/>
          <w:lang w:eastAsia="ko-KR"/>
        </w:rPr>
        <w:t xml:space="preserve">up to RAN2 including any possible additional </w:t>
      </w:r>
      <w:r w:rsidRPr="00313EFD">
        <w:rPr>
          <w:rFonts w:eastAsia="Malgun Gothic"/>
          <w:i/>
          <w:lang w:eastAsia="ko-KR"/>
        </w:rPr>
        <w:t>averaging</w:t>
      </w:r>
      <w:r w:rsidRPr="00313EFD">
        <w:rPr>
          <w:rFonts w:eastAsia="Malgun Gothic" w:hint="eastAsia"/>
          <w:i/>
          <w:lang w:eastAsia="ko-KR"/>
        </w:rPr>
        <w:t xml:space="preserve"> at higher layer</w:t>
      </w:r>
    </w:p>
    <w:p w:rsidR="00423C94" w:rsidRPr="00313EFD" w:rsidRDefault="00423C94" w:rsidP="00423C94">
      <w:pPr>
        <w:numPr>
          <w:ilvl w:val="0"/>
          <w:numId w:val="19"/>
        </w:numPr>
        <w:spacing w:after="0"/>
        <w:rPr>
          <w:rFonts w:eastAsia="Malgun Gothic"/>
          <w:i/>
          <w:lang w:eastAsia="ko-KR"/>
        </w:rPr>
      </w:pPr>
      <w:r w:rsidRPr="00313EFD">
        <w:rPr>
          <w:rFonts w:eastAsia="Malgun Gothic" w:hint="eastAsia"/>
          <w:i/>
          <w:lang w:eastAsia="ko-KR"/>
        </w:rPr>
        <w:t>Send LS to RAN2/4 to inform this agreement.</w:t>
      </w:r>
    </w:p>
    <w:p w:rsidR="00CF3ADC" w:rsidRPr="00423C94" w:rsidRDefault="00CF3ADC" w:rsidP="005360AD">
      <w:pPr>
        <w:pStyle w:val="BodyText"/>
        <w:spacing w:after="240"/>
        <w:jc w:val="both"/>
        <w:rPr>
          <w:sz w:val="20"/>
          <w:szCs w:val="20"/>
          <w:lang w:val="en-GB"/>
        </w:rPr>
      </w:pPr>
    </w:p>
    <w:p w:rsidR="00A51C5E" w:rsidRPr="00DB1B5A" w:rsidRDefault="00CB7913" w:rsidP="00A51C5E">
      <w:pPr>
        <w:pStyle w:val="BodyText"/>
        <w:spacing w:after="240"/>
        <w:jc w:val="both"/>
        <w:rPr>
          <w:sz w:val="20"/>
          <w:szCs w:val="20"/>
        </w:rPr>
      </w:pPr>
      <w:r w:rsidRPr="00DB1B5A">
        <w:rPr>
          <w:sz w:val="20"/>
          <w:szCs w:val="20"/>
        </w:rPr>
        <w:t xml:space="preserve">In this paper we focus on </w:t>
      </w:r>
      <w:r w:rsidR="00B42DA9">
        <w:rPr>
          <w:sz w:val="20"/>
          <w:szCs w:val="20"/>
        </w:rPr>
        <w:t>r</w:t>
      </w:r>
      <w:r w:rsidR="00687639" w:rsidRPr="00687639">
        <w:rPr>
          <w:sz w:val="20"/>
          <w:szCs w:val="20"/>
        </w:rPr>
        <w:t>emaining details about CBR measurement over PC5 in V-UEs</w:t>
      </w:r>
      <w:r w:rsidRPr="00DB1B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CF3ADC" w:rsidRPr="00DB1B5A">
        <w:rPr>
          <w:sz w:val="20"/>
          <w:szCs w:val="20"/>
        </w:rPr>
        <w:t xml:space="preserve">Details about how the LTE CBR measurement is used by the UE and NW are provided in a companion contribution </w:t>
      </w:r>
      <w:r w:rsidR="00A31384">
        <w:rPr>
          <w:sz w:val="20"/>
          <w:szCs w:val="20"/>
        </w:rPr>
        <w:fldChar w:fldCharType="begin"/>
      </w:r>
      <w:r w:rsidR="00A31384">
        <w:rPr>
          <w:sz w:val="20"/>
          <w:szCs w:val="20"/>
        </w:rPr>
        <w:instrText xml:space="preserve"> REF _Ref462753020 \r \h </w:instrText>
      </w:r>
      <w:r w:rsidR="00A31384">
        <w:rPr>
          <w:sz w:val="20"/>
          <w:szCs w:val="20"/>
        </w:rPr>
      </w:r>
      <w:r w:rsidR="00A31384">
        <w:rPr>
          <w:sz w:val="20"/>
          <w:szCs w:val="20"/>
        </w:rPr>
        <w:fldChar w:fldCharType="separate"/>
      </w:r>
      <w:r w:rsidR="002107B0">
        <w:rPr>
          <w:sz w:val="20"/>
          <w:szCs w:val="20"/>
        </w:rPr>
        <w:t>[2]</w:t>
      </w:r>
      <w:r w:rsidR="00A31384">
        <w:rPr>
          <w:sz w:val="20"/>
          <w:szCs w:val="20"/>
        </w:rPr>
        <w:fldChar w:fldCharType="end"/>
      </w:r>
      <w:r w:rsidR="00CF3ADC" w:rsidRPr="00DB1B5A">
        <w:rPr>
          <w:sz w:val="20"/>
          <w:szCs w:val="20"/>
        </w:rPr>
        <w:t xml:space="preserve">. </w:t>
      </w:r>
    </w:p>
    <w:p w:rsidR="001C33A7" w:rsidRPr="00DB1B5A" w:rsidRDefault="00B42DA9" w:rsidP="001C33A7">
      <w:pPr>
        <w:pStyle w:val="Heading1"/>
      </w:pPr>
      <w:r>
        <w:t>Discussion on the remaining details about CBR measurement</w:t>
      </w:r>
    </w:p>
    <w:p w:rsidR="00B42DA9" w:rsidRDefault="00B42DA9" w:rsidP="009F68F8">
      <w:pPr>
        <w:pStyle w:val="Heading2"/>
      </w:pPr>
      <w:r>
        <w:t xml:space="preserve">On </w:t>
      </w:r>
      <w:r w:rsidR="0017754C">
        <w:t xml:space="preserve">additional </w:t>
      </w:r>
      <w:r>
        <w:t xml:space="preserve">separated </w:t>
      </w:r>
      <w:r w:rsidR="0017754C">
        <w:t xml:space="preserve">CBR </w:t>
      </w:r>
      <w:r>
        <w:t>measurement for SA pool</w:t>
      </w:r>
    </w:p>
    <w:p w:rsidR="003B6EC2" w:rsidRDefault="003B6EC2" w:rsidP="00B42DA9">
      <w:r>
        <w:t>It is agreed in RAN1#86:</w:t>
      </w:r>
    </w:p>
    <w:p w:rsidR="003B6EC2" w:rsidRPr="003B6EC2" w:rsidRDefault="003B6EC2" w:rsidP="003B6EC2">
      <w:pPr>
        <w:numPr>
          <w:ilvl w:val="0"/>
          <w:numId w:val="20"/>
        </w:numPr>
        <w:spacing w:after="0"/>
        <w:rPr>
          <w:rFonts w:ascii="Times" w:hAnsi="Times"/>
          <w:i/>
        </w:rPr>
      </w:pPr>
      <w:r w:rsidRPr="003B6EC2">
        <w:rPr>
          <w:rFonts w:ascii="Times" w:hAnsi="Times"/>
          <w:i/>
        </w:rPr>
        <w:t>A UE cannot transmit TB without SA</w:t>
      </w:r>
      <w:r w:rsidRPr="003B6EC2">
        <w:rPr>
          <w:rFonts w:ascii="Times" w:hAnsi="Times" w:hint="eastAsia"/>
          <w:i/>
        </w:rPr>
        <w:t xml:space="preserve">, i.e., </w:t>
      </w:r>
      <w:r w:rsidRPr="003B6EC2">
        <w:rPr>
          <w:rFonts w:ascii="Times" w:hAnsi="Times"/>
          <w:i/>
        </w:rPr>
        <w:t>SA is transmitted with each (re)transmission of a TB.</w:t>
      </w:r>
    </w:p>
    <w:p w:rsidR="00CC78AB" w:rsidRDefault="00CC78AB" w:rsidP="00B42DA9"/>
    <w:p w:rsidR="009E1FA9" w:rsidRPr="00DB1B5A" w:rsidRDefault="009E1FA9" w:rsidP="009E1FA9">
      <w:pPr>
        <w:pStyle w:val="BodyText"/>
        <w:spacing w:after="240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Observation:</w:t>
      </w:r>
    </w:p>
    <w:p w:rsidR="009E1FA9" w:rsidRPr="00DB1B5A" w:rsidRDefault="00E428F6" w:rsidP="009E1FA9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In LTE-V2X sidelink, e</w:t>
      </w:r>
      <w:r w:rsidR="003B6EC2">
        <w:rPr>
          <w:b/>
          <w:i/>
          <w:sz w:val="20"/>
          <w:szCs w:val="20"/>
        </w:rPr>
        <w:t>ach data transmission is associated with a SA</w:t>
      </w:r>
      <w:r w:rsidR="00C53A08">
        <w:rPr>
          <w:b/>
          <w:i/>
          <w:sz w:val="20"/>
          <w:szCs w:val="20"/>
        </w:rPr>
        <w:t xml:space="preserve"> transmission. </w:t>
      </w:r>
      <w:r>
        <w:rPr>
          <w:b/>
          <w:i/>
          <w:sz w:val="20"/>
          <w:szCs w:val="20"/>
        </w:rPr>
        <w:t xml:space="preserve">With the </w:t>
      </w:r>
      <w:r w:rsidR="0048462D">
        <w:rPr>
          <w:b/>
          <w:i/>
          <w:sz w:val="20"/>
          <w:szCs w:val="20"/>
        </w:rPr>
        <w:t>CBR</w:t>
      </w:r>
      <w:r w:rsidR="00C53A08">
        <w:rPr>
          <w:b/>
          <w:i/>
          <w:sz w:val="20"/>
          <w:szCs w:val="20"/>
        </w:rPr>
        <w:t xml:space="preserve"> measurement result of </w:t>
      </w:r>
      <w:r w:rsidR="0048462D">
        <w:rPr>
          <w:b/>
          <w:i/>
          <w:sz w:val="20"/>
          <w:szCs w:val="20"/>
        </w:rPr>
        <w:t>data</w:t>
      </w:r>
      <w:r w:rsidR="00C53A08">
        <w:rPr>
          <w:b/>
          <w:i/>
          <w:sz w:val="20"/>
          <w:szCs w:val="20"/>
        </w:rPr>
        <w:t xml:space="preserve"> </w:t>
      </w:r>
      <w:r w:rsidR="0048462D">
        <w:rPr>
          <w:b/>
          <w:i/>
          <w:sz w:val="20"/>
          <w:szCs w:val="20"/>
        </w:rPr>
        <w:t>resource</w:t>
      </w:r>
      <w:r>
        <w:rPr>
          <w:b/>
          <w:i/>
          <w:sz w:val="20"/>
          <w:szCs w:val="20"/>
        </w:rPr>
        <w:t xml:space="preserve"> and the knowledge about resource configuration of data and SA pools</w:t>
      </w:r>
      <w:r w:rsidR="0048462D">
        <w:rPr>
          <w:b/>
          <w:i/>
          <w:sz w:val="20"/>
          <w:szCs w:val="20"/>
        </w:rPr>
        <w:t>,</w:t>
      </w:r>
      <w:r>
        <w:rPr>
          <w:b/>
          <w:i/>
          <w:sz w:val="20"/>
          <w:szCs w:val="20"/>
        </w:rPr>
        <w:t xml:space="preserve"> the occupancy level of </w:t>
      </w:r>
      <w:r w:rsidR="00C53A08">
        <w:rPr>
          <w:b/>
          <w:i/>
          <w:sz w:val="20"/>
          <w:szCs w:val="20"/>
        </w:rPr>
        <w:t>SA pool can also be derived</w:t>
      </w:r>
      <w:r w:rsidR="009E1FA9" w:rsidRPr="00DB1B5A">
        <w:rPr>
          <w:b/>
          <w:i/>
          <w:sz w:val="20"/>
          <w:szCs w:val="20"/>
        </w:rPr>
        <w:t xml:space="preserve">. </w:t>
      </w:r>
    </w:p>
    <w:p w:rsidR="009C3D39" w:rsidRPr="00DB1B5A" w:rsidRDefault="009C3D39" w:rsidP="009C3D39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Proposal:</w:t>
      </w:r>
    </w:p>
    <w:p w:rsidR="009C3D39" w:rsidRPr="00DB1B5A" w:rsidRDefault="00C53A08" w:rsidP="009C3D39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Additional separated measurement is not needed for SA pool. </w:t>
      </w:r>
    </w:p>
    <w:p w:rsidR="00B42DA9" w:rsidRPr="009C3D39" w:rsidRDefault="00B42DA9" w:rsidP="00B42DA9">
      <w:pPr>
        <w:rPr>
          <w:lang w:val="en-US"/>
        </w:rPr>
      </w:pPr>
    </w:p>
    <w:p w:rsidR="00CC78AB" w:rsidRDefault="007470D1" w:rsidP="009F68F8">
      <w:pPr>
        <w:pStyle w:val="Heading2"/>
      </w:pPr>
      <w:r>
        <w:lastRenderedPageBreak/>
        <w:t xml:space="preserve">On </w:t>
      </w:r>
      <w:r w:rsidR="0017754C">
        <w:t xml:space="preserve">CBR </w:t>
      </w:r>
      <w:r w:rsidR="005F572F">
        <w:t>measure</w:t>
      </w:r>
      <w:r w:rsidR="00E62E63">
        <w:t>ment</w:t>
      </w:r>
      <w:r w:rsidR="005F572F">
        <w:t xml:space="preserve"> pools for UE</w:t>
      </w:r>
      <w:r w:rsidR="00E62E63">
        <w:t>s</w:t>
      </w:r>
      <w:r w:rsidR="005F572F">
        <w:t xml:space="preserve"> in mode4</w:t>
      </w:r>
    </w:p>
    <w:p w:rsidR="00E62E63" w:rsidRDefault="00AF53B3" w:rsidP="00E62E63">
      <w:r>
        <w:t>The CBR measurement is meant to provide the occupancy level/ratio of channel resource to congestion control functionalit</w:t>
      </w:r>
      <w:r w:rsidR="00116D9C">
        <w:t>ies</w:t>
      </w:r>
      <w:r>
        <w:t xml:space="preserve"> at higher layers </w:t>
      </w:r>
      <w:r w:rsidR="00D67142">
        <w:t>and/</w:t>
      </w:r>
      <w:r>
        <w:t>or at the radio level</w:t>
      </w:r>
      <w:r w:rsidR="008A0446">
        <w:t xml:space="preserve">, which are described in the companion contribution </w:t>
      </w:r>
      <w:r w:rsidR="008A0446">
        <w:fldChar w:fldCharType="begin"/>
      </w:r>
      <w:r w:rsidR="008A0446">
        <w:instrText xml:space="preserve"> REF _Ref462753020 \r \h </w:instrText>
      </w:r>
      <w:r w:rsidR="008A0446">
        <w:fldChar w:fldCharType="separate"/>
      </w:r>
      <w:r w:rsidR="008A0446">
        <w:t>[2]</w:t>
      </w:r>
      <w:r w:rsidR="008A0446">
        <w:fldChar w:fldCharType="end"/>
      </w:r>
      <w:r>
        <w:t xml:space="preserve">. </w:t>
      </w:r>
      <w:r w:rsidR="00A576D9">
        <w:t xml:space="preserve">The </w:t>
      </w:r>
      <w:r w:rsidR="00DE3347">
        <w:t xml:space="preserve">congestion control functionality at </w:t>
      </w:r>
      <w:r w:rsidR="00A576D9">
        <w:t>higher layer</w:t>
      </w:r>
      <w:r w:rsidR="00DE3347">
        <w:t xml:space="preserve">s </w:t>
      </w:r>
      <w:r w:rsidR="00A576D9">
        <w:t xml:space="preserve">can adapt, </w:t>
      </w:r>
      <w:r w:rsidR="00DE3347">
        <w:t>for instance</w:t>
      </w:r>
      <w:r w:rsidR="00A576D9">
        <w:t>, the V2X message generation rate</w:t>
      </w:r>
      <w:r w:rsidR="00DE3347">
        <w:t xml:space="preserve"> at a UE</w:t>
      </w:r>
      <w:r w:rsidR="00A576D9">
        <w:t xml:space="preserve"> to mitigate the congestion problem, if the CBR measurement indicates a high occupancy level of the channel resource. </w:t>
      </w:r>
      <w:r w:rsidR="009733A8">
        <w:t xml:space="preserve">A </w:t>
      </w:r>
      <w:r>
        <w:t xml:space="preserve">resource pool is considered as </w:t>
      </w:r>
      <w:r w:rsidR="002766EB">
        <w:t>“</w:t>
      </w:r>
      <w:r>
        <w:t>channel resource</w:t>
      </w:r>
      <w:r w:rsidR="002766EB">
        <w:t>”</w:t>
      </w:r>
      <w:r w:rsidR="009733A8">
        <w:t xml:space="preserve"> by a V-UE</w:t>
      </w:r>
      <w:r>
        <w:t xml:space="preserve">, </w:t>
      </w:r>
      <w:r w:rsidR="00A576D9">
        <w:t>so</w:t>
      </w:r>
      <w:r w:rsidR="00C4548A">
        <w:t xml:space="preserve"> far as it can be used </w:t>
      </w:r>
      <w:r>
        <w:t xml:space="preserve">for </w:t>
      </w:r>
      <w:r w:rsidR="00C4548A">
        <w:t>V2X message transmission</w:t>
      </w:r>
      <w:r>
        <w:t xml:space="preserve"> </w:t>
      </w:r>
      <w:r w:rsidR="00C4548A">
        <w:t xml:space="preserve">by the </w:t>
      </w:r>
      <w:r w:rsidR="00E611F6">
        <w:t>V-</w:t>
      </w:r>
      <w:r w:rsidR="00C4548A">
        <w:t>UE regardless of the scheduling mode</w:t>
      </w:r>
      <w:r w:rsidR="00E611F6">
        <w:t xml:space="preserve"> it is using</w:t>
      </w:r>
      <w:r>
        <w:t>.</w:t>
      </w:r>
      <w:r w:rsidR="00C4548A">
        <w:t xml:space="preserve"> </w:t>
      </w:r>
      <w:r w:rsidR="009733A8">
        <w:t xml:space="preserve">It is worth mentioning that </w:t>
      </w:r>
      <w:r w:rsidR="00E01468">
        <w:t xml:space="preserve">the </w:t>
      </w:r>
      <w:r w:rsidR="00633D97">
        <w:t xml:space="preserve">sidelink </w:t>
      </w:r>
      <w:r w:rsidR="009733A8">
        <w:t xml:space="preserve">V2X communication performance </w:t>
      </w:r>
      <w:r w:rsidR="00E01468">
        <w:t xml:space="preserve">as well as the CBR evaluation </w:t>
      </w:r>
      <w:r w:rsidR="00633D97">
        <w:t xml:space="preserve">is </w:t>
      </w:r>
      <w:r w:rsidR="00E01468">
        <w:t>UE</w:t>
      </w:r>
      <w:r w:rsidR="00D6348B">
        <w:t>-centric and UE-</w:t>
      </w:r>
      <w:r w:rsidR="00E01468">
        <w:t>specific</w:t>
      </w:r>
      <w:r w:rsidR="009733A8">
        <w:t>.</w:t>
      </w:r>
      <w:r w:rsidR="00D6348B">
        <w:t xml:space="preserve"> The design of communication system shall maximize efficiency of local spectrum usage at UEs.</w:t>
      </w:r>
      <w:r w:rsidR="009733A8">
        <w:t xml:space="preserve"> </w:t>
      </w:r>
      <w:r w:rsidR="00C4548A">
        <w:t xml:space="preserve">However, </w:t>
      </w:r>
      <w:r w:rsidR="00E611F6">
        <w:t xml:space="preserve">it may not be the case that all sidelink channel resource can be used by V-UEs for transmitting V2X messages. For example, </w:t>
      </w:r>
      <w:r w:rsidR="00C4548A">
        <w:t xml:space="preserve">as we proposed in another companion contribution </w:t>
      </w:r>
      <w:r w:rsidR="00E611F6">
        <w:fldChar w:fldCharType="begin"/>
      </w:r>
      <w:r w:rsidR="00E611F6">
        <w:instrText xml:space="preserve"> REF _Ref466022165 \r \h </w:instrText>
      </w:r>
      <w:r w:rsidR="00E611F6">
        <w:fldChar w:fldCharType="separate"/>
      </w:r>
      <w:r w:rsidR="00E611F6">
        <w:t>[3]</w:t>
      </w:r>
      <w:r w:rsidR="00E611F6">
        <w:fldChar w:fldCharType="end"/>
      </w:r>
      <w:r w:rsidR="00E611F6">
        <w:t xml:space="preserve">, an additional sidelink transmission mode and its associated resource configuration for P-UE using random resource selection </w:t>
      </w:r>
      <w:r w:rsidR="00633D97">
        <w:t>are</w:t>
      </w:r>
      <w:r w:rsidR="00E611F6">
        <w:t xml:space="preserve"> introduced</w:t>
      </w:r>
      <w:r w:rsidR="00633D97">
        <w:t xml:space="preserve">. This proposal </w:t>
      </w:r>
      <w:r w:rsidR="00AF230E">
        <w:t>considers</w:t>
      </w:r>
      <w:r w:rsidR="00E611F6">
        <w:t xml:space="preserve"> the negative impact of P-UEs without sensing capability (</w:t>
      </w:r>
      <w:r w:rsidR="006F3E63">
        <w:t>using solely random resource selection</w:t>
      </w:r>
      <w:r w:rsidR="00E611F6">
        <w:t xml:space="preserve">) to the usage of channel resource </w:t>
      </w:r>
      <w:r w:rsidR="006F3E63">
        <w:t xml:space="preserve">by other UEs </w:t>
      </w:r>
      <w:r w:rsidR="00E611F6">
        <w:t xml:space="preserve">based sensing. </w:t>
      </w:r>
      <w:r w:rsidR="0064012C">
        <w:t>It is foreseen</w:t>
      </w:r>
      <w:r w:rsidR="00A576D9">
        <w:t xml:space="preserve"> that </w:t>
      </w:r>
      <w:r w:rsidR="0064012C">
        <w:t xml:space="preserve">the resource </w:t>
      </w:r>
      <w:r w:rsidR="00633D97">
        <w:t xml:space="preserve">configuration </w:t>
      </w:r>
      <w:r w:rsidR="0064012C">
        <w:t xml:space="preserve">for V-UE transmission </w:t>
      </w:r>
      <w:r w:rsidR="00AF230E">
        <w:t>needs</w:t>
      </w:r>
      <w:r w:rsidR="0064012C">
        <w:t xml:space="preserve"> be separated from the resource </w:t>
      </w:r>
      <w:r w:rsidR="00633D97">
        <w:t xml:space="preserve">configuration </w:t>
      </w:r>
      <w:r w:rsidR="0064012C">
        <w:t>for P-UE transmission</w:t>
      </w:r>
      <w:r w:rsidR="00633D97">
        <w:t xml:space="preserve"> </w:t>
      </w:r>
      <w:r w:rsidR="00AF230E">
        <w:t>that does not</w:t>
      </w:r>
      <w:r w:rsidR="00633D97">
        <w:t xml:space="preserve"> sensing</w:t>
      </w:r>
      <w:r w:rsidR="0064012C">
        <w:t xml:space="preserve">. </w:t>
      </w:r>
    </w:p>
    <w:p w:rsidR="002774A0" w:rsidRPr="00DB1B5A" w:rsidRDefault="002774A0" w:rsidP="002774A0">
      <w:pPr>
        <w:pStyle w:val="BodyText"/>
        <w:spacing w:after="240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Observation:</w:t>
      </w:r>
    </w:p>
    <w:p w:rsidR="002766EB" w:rsidRPr="002766EB" w:rsidRDefault="00AF230E" w:rsidP="00AF230E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</w:t>
      </w:r>
      <w:r w:rsidRPr="00AF230E">
        <w:rPr>
          <w:b/>
          <w:i/>
          <w:sz w:val="20"/>
          <w:szCs w:val="20"/>
        </w:rPr>
        <w:t xml:space="preserve">he resource configuration for V-UE transmission </w:t>
      </w:r>
      <w:r>
        <w:rPr>
          <w:b/>
          <w:i/>
          <w:sz w:val="20"/>
          <w:szCs w:val="20"/>
        </w:rPr>
        <w:t>needs to</w:t>
      </w:r>
      <w:r w:rsidRPr="00AF230E">
        <w:rPr>
          <w:b/>
          <w:i/>
          <w:sz w:val="20"/>
          <w:szCs w:val="20"/>
        </w:rPr>
        <w:t xml:space="preserve"> be separated from the resource conf</w:t>
      </w:r>
      <w:r>
        <w:rPr>
          <w:b/>
          <w:i/>
          <w:sz w:val="20"/>
          <w:szCs w:val="20"/>
        </w:rPr>
        <w:t>iguration for P-UE transmission that does not use</w:t>
      </w:r>
      <w:r w:rsidRPr="00AF230E">
        <w:rPr>
          <w:b/>
          <w:i/>
          <w:sz w:val="20"/>
          <w:szCs w:val="20"/>
        </w:rPr>
        <w:t xml:space="preserve"> sensing</w:t>
      </w:r>
      <w:r>
        <w:rPr>
          <w:b/>
          <w:i/>
          <w:sz w:val="20"/>
          <w:szCs w:val="20"/>
        </w:rPr>
        <w:t>.</w:t>
      </w:r>
    </w:p>
    <w:p w:rsidR="002774A0" w:rsidRPr="00DB1B5A" w:rsidRDefault="002774A0" w:rsidP="002774A0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Proposal:</w:t>
      </w:r>
    </w:p>
    <w:p w:rsidR="002766EB" w:rsidRDefault="0064012C" w:rsidP="002774A0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V-UE shall perform CBR measurement over all pools (channel resources) that can be used by V-UE</w:t>
      </w:r>
      <w:r w:rsidR="006D6C9E">
        <w:rPr>
          <w:b/>
          <w:i/>
          <w:sz w:val="20"/>
          <w:szCs w:val="20"/>
        </w:rPr>
        <w:t>s for</w:t>
      </w:r>
      <w:r>
        <w:rPr>
          <w:b/>
          <w:i/>
          <w:sz w:val="20"/>
          <w:szCs w:val="20"/>
        </w:rPr>
        <w:t xml:space="preserve"> transmit</w:t>
      </w:r>
      <w:r w:rsidR="006D6C9E">
        <w:rPr>
          <w:b/>
          <w:i/>
          <w:sz w:val="20"/>
          <w:szCs w:val="20"/>
        </w:rPr>
        <w:t>ting</w:t>
      </w:r>
      <w:r>
        <w:rPr>
          <w:b/>
          <w:i/>
          <w:sz w:val="20"/>
          <w:szCs w:val="20"/>
        </w:rPr>
        <w:t xml:space="preserve"> V2X messages, regardless of the scheduling mode that the V-UE is using and the resource pools are associated to</w:t>
      </w:r>
      <w:r w:rsidR="002766EB">
        <w:rPr>
          <w:b/>
          <w:i/>
          <w:sz w:val="20"/>
          <w:szCs w:val="20"/>
        </w:rPr>
        <w:t>.</w:t>
      </w:r>
    </w:p>
    <w:p w:rsidR="0064012C" w:rsidRDefault="0064012C" w:rsidP="002774A0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V-UE does not need perform CBR measurement on resource pools</w:t>
      </w:r>
      <w:r w:rsidR="006D6C9E">
        <w:rPr>
          <w:b/>
          <w:i/>
          <w:sz w:val="20"/>
          <w:szCs w:val="20"/>
        </w:rPr>
        <w:t xml:space="preserve"> that are</w:t>
      </w:r>
      <w:r>
        <w:rPr>
          <w:b/>
          <w:i/>
          <w:sz w:val="20"/>
          <w:szCs w:val="20"/>
        </w:rPr>
        <w:t xml:space="preserve"> exclusively used by P-UE</w:t>
      </w:r>
      <w:r w:rsidR="006D6C9E">
        <w:rPr>
          <w:b/>
          <w:i/>
          <w:sz w:val="20"/>
          <w:szCs w:val="20"/>
        </w:rPr>
        <w:t xml:space="preserve"> for transmission</w:t>
      </w:r>
      <w:r>
        <w:rPr>
          <w:b/>
          <w:i/>
          <w:sz w:val="20"/>
          <w:szCs w:val="20"/>
        </w:rPr>
        <w:t xml:space="preserve">. </w:t>
      </w:r>
    </w:p>
    <w:p w:rsidR="005222BB" w:rsidRDefault="005222BB" w:rsidP="00E62E63"/>
    <w:p w:rsidR="00D0339F" w:rsidRPr="00805C09" w:rsidRDefault="00D0339F" w:rsidP="00D0339F">
      <w:pPr>
        <w:pStyle w:val="Heading1"/>
      </w:pPr>
      <w:r w:rsidRPr="00805C09">
        <w:t>Conclusion</w:t>
      </w:r>
      <w:r w:rsidR="00A11B11" w:rsidRPr="00805C09">
        <w:t xml:space="preserve"> </w:t>
      </w:r>
    </w:p>
    <w:p w:rsidR="00A90703" w:rsidRPr="00805C09" w:rsidRDefault="00A90703" w:rsidP="00B4256E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805C09">
        <w:rPr>
          <w:spacing w:val="2"/>
          <w:sz w:val="20"/>
          <w:szCs w:val="20"/>
        </w:rPr>
        <w:t>In this contribution we discuss</w:t>
      </w:r>
      <w:r w:rsidR="00964B52" w:rsidRPr="00805C09">
        <w:rPr>
          <w:spacing w:val="2"/>
          <w:sz w:val="20"/>
          <w:szCs w:val="20"/>
        </w:rPr>
        <w:t>ed</w:t>
      </w:r>
      <w:r w:rsidRPr="00805C09">
        <w:rPr>
          <w:spacing w:val="2"/>
          <w:sz w:val="20"/>
          <w:szCs w:val="20"/>
        </w:rPr>
        <w:t xml:space="preserve"> </w:t>
      </w:r>
      <w:r w:rsidR="001323AF">
        <w:rPr>
          <w:spacing w:val="2"/>
          <w:sz w:val="20"/>
          <w:szCs w:val="20"/>
        </w:rPr>
        <w:t xml:space="preserve">remaining details about </w:t>
      </w:r>
      <w:r w:rsidR="00C2242A" w:rsidRPr="00805C09">
        <w:rPr>
          <w:spacing w:val="2"/>
          <w:sz w:val="20"/>
          <w:szCs w:val="20"/>
        </w:rPr>
        <w:t>CBR</w:t>
      </w:r>
      <w:r w:rsidR="001F6308" w:rsidRPr="00805C09">
        <w:rPr>
          <w:spacing w:val="2"/>
          <w:sz w:val="20"/>
          <w:szCs w:val="20"/>
        </w:rPr>
        <w:t xml:space="preserve"> measurement</w:t>
      </w:r>
      <w:r w:rsidR="00C2242A" w:rsidRPr="00805C09">
        <w:rPr>
          <w:spacing w:val="2"/>
          <w:sz w:val="20"/>
          <w:szCs w:val="20"/>
        </w:rPr>
        <w:t>.</w:t>
      </w:r>
    </w:p>
    <w:p w:rsidR="00D9023C" w:rsidRPr="00DB1B5A" w:rsidRDefault="00D9023C" w:rsidP="00D9023C">
      <w:pPr>
        <w:pStyle w:val="BodyText"/>
        <w:spacing w:after="240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Observation:</w:t>
      </w:r>
    </w:p>
    <w:p w:rsidR="00D9023C" w:rsidRPr="00DB1B5A" w:rsidRDefault="00D9023C" w:rsidP="00D9023C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In LTE-V2X sidelink, each data transmission is associated with a SA transmission. With the CBR measurement result of data resource and the knowledge about resource configuration of data and SA pools, the occupancy level of SA pool can also be derived</w:t>
      </w:r>
      <w:r w:rsidRPr="00DB1B5A">
        <w:rPr>
          <w:b/>
          <w:i/>
          <w:sz w:val="20"/>
          <w:szCs w:val="20"/>
        </w:rPr>
        <w:t xml:space="preserve">. </w:t>
      </w:r>
    </w:p>
    <w:p w:rsidR="00D9023C" w:rsidRPr="00DB1B5A" w:rsidRDefault="00D9023C" w:rsidP="00D9023C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Proposal:</w:t>
      </w:r>
    </w:p>
    <w:p w:rsidR="00D9023C" w:rsidRPr="00DB1B5A" w:rsidRDefault="00D9023C" w:rsidP="00D9023C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Additional separated measurement is not needed for SA pool. </w:t>
      </w:r>
    </w:p>
    <w:p w:rsidR="0086374F" w:rsidRPr="00D8206A" w:rsidRDefault="0086374F" w:rsidP="00805C09">
      <w:pPr>
        <w:pStyle w:val="BodyText"/>
        <w:jc w:val="both"/>
        <w:rPr>
          <w:rFonts w:ascii="Times" w:hAnsi="Times" w:cs="Times"/>
          <w:color w:val="EEECE1" w:themeColor="background2"/>
          <w:sz w:val="20"/>
          <w:szCs w:val="20"/>
        </w:rPr>
      </w:pPr>
    </w:p>
    <w:p w:rsidR="00D9023C" w:rsidRPr="00DB1B5A" w:rsidRDefault="00D9023C" w:rsidP="00D9023C">
      <w:pPr>
        <w:pStyle w:val="BodyText"/>
        <w:spacing w:after="240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Observation:</w:t>
      </w:r>
    </w:p>
    <w:p w:rsidR="00D9023C" w:rsidRPr="002766EB" w:rsidRDefault="00D9023C" w:rsidP="00D9023C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</w:t>
      </w:r>
      <w:r w:rsidRPr="00AF230E">
        <w:rPr>
          <w:b/>
          <w:i/>
          <w:sz w:val="20"/>
          <w:szCs w:val="20"/>
        </w:rPr>
        <w:t xml:space="preserve">he resource configuration for V-UE transmission </w:t>
      </w:r>
      <w:r>
        <w:rPr>
          <w:b/>
          <w:i/>
          <w:sz w:val="20"/>
          <w:szCs w:val="20"/>
        </w:rPr>
        <w:t>needs to</w:t>
      </w:r>
      <w:r w:rsidRPr="00AF230E">
        <w:rPr>
          <w:b/>
          <w:i/>
          <w:sz w:val="20"/>
          <w:szCs w:val="20"/>
        </w:rPr>
        <w:t xml:space="preserve"> be separated from the resource conf</w:t>
      </w:r>
      <w:r>
        <w:rPr>
          <w:b/>
          <w:i/>
          <w:sz w:val="20"/>
          <w:szCs w:val="20"/>
        </w:rPr>
        <w:t>iguration for P-UE transmission that does not use</w:t>
      </w:r>
      <w:r w:rsidRPr="00AF230E">
        <w:rPr>
          <w:b/>
          <w:i/>
          <w:sz w:val="20"/>
          <w:szCs w:val="20"/>
        </w:rPr>
        <w:t xml:space="preserve"> sensing</w:t>
      </w:r>
      <w:r>
        <w:rPr>
          <w:b/>
          <w:i/>
          <w:sz w:val="20"/>
          <w:szCs w:val="20"/>
        </w:rPr>
        <w:t>.</w:t>
      </w:r>
    </w:p>
    <w:p w:rsidR="00D9023C" w:rsidRPr="00DB1B5A" w:rsidRDefault="00D9023C" w:rsidP="00D9023C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B1B5A">
        <w:rPr>
          <w:b/>
          <w:i/>
          <w:sz w:val="20"/>
          <w:szCs w:val="20"/>
        </w:rPr>
        <w:t>Proposal:</w:t>
      </w:r>
    </w:p>
    <w:p w:rsidR="00D9023C" w:rsidRDefault="00D9023C" w:rsidP="00D9023C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V-UE shall perform CBR measurement over all pools (channel resources) that can be used by V-UEs for transmitting V2X messages, regardless of the scheduling mode that the V-UE is using and the resource pools are associated to.</w:t>
      </w:r>
    </w:p>
    <w:p w:rsidR="00D9023C" w:rsidRDefault="00D9023C" w:rsidP="00D9023C">
      <w:pPr>
        <w:pStyle w:val="BodyText"/>
        <w:numPr>
          <w:ilvl w:val="0"/>
          <w:numId w:val="9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V-UE does not need perform CBR measurement on resource pools that are exclusively used by P-UE for transmission. </w:t>
      </w:r>
    </w:p>
    <w:p w:rsidR="009A1074" w:rsidRPr="00805C09" w:rsidRDefault="00C02A80" w:rsidP="00856691">
      <w:pPr>
        <w:pStyle w:val="Heading1"/>
      </w:pPr>
      <w:r w:rsidRPr="00805C09">
        <w:lastRenderedPageBreak/>
        <w:t>Reference</w:t>
      </w:r>
    </w:p>
    <w:p w:rsidR="00EF1310" w:rsidRDefault="00EF1310" w:rsidP="00C72D4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sz w:val="20"/>
          <w:szCs w:val="20"/>
          <w:lang w:eastAsia="sv-SE"/>
        </w:rPr>
      </w:pPr>
      <w:bookmarkStart w:id="4" w:name="_Ref462752889"/>
      <w:bookmarkStart w:id="5" w:name="_Ref450500551"/>
      <w:bookmarkStart w:id="6" w:name="_Ref447199324"/>
      <w:bookmarkStart w:id="7" w:name="_Ref447198192"/>
      <w:r>
        <w:rPr>
          <w:rFonts w:ascii="Times New Roman" w:hAnsi="Times New Roman" w:cs="Times New Roman"/>
          <w:sz w:val="20"/>
          <w:szCs w:val="20"/>
          <w:lang w:eastAsia="sv-SE"/>
        </w:rPr>
        <w:t xml:space="preserve">RP-161894: </w:t>
      </w:r>
      <w:r w:rsidRPr="00EF1310">
        <w:rPr>
          <w:rFonts w:ascii="Times New Roman" w:hAnsi="Times New Roman" w:cs="Times New Roman"/>
          <w:sz w:val="20"/>
          <w:szCs w:val="20"/>
          <w:lang w:eastAsia="sv-SE"/>
        </w:rPr>
        <w:t>Revised WI proposal: LTE-based V2X Services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, </w:t>
      </w:r>
      <w:r w:rsidRPr="00EF1310">
        <w:rPr>
          <w:rFonts w:ascii="Times New Roman" w:hAnsi="Times New Roman" w:cs="Times New Roman"/>
          <w:sz w:val="20"/>
          <w:szCs w:val="20"/>
          <w:lang w:eastAsia="sv-SE"/>
        </w:rPr>
        <w:t>LG Electronics, Huawei, CATT</w:t>
      </w:r>
      <w:r>
        <w:rPr>
          <w:rFonts w:ascii="Times New Roman" w:hAnsi="Times New Roman" w:cs="Times New Roman"/>
          <w:sz w:val="20"/>
          <w:szCs w:val="20"/>
          <w:lang w:eastAsia="sv-SE"/>
        </w:rPr>
        <w:t>, September, 2016</w:t>
      </w:r>
      <w:bookmarkEnd w:id="4"/>
      <w:r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</w:p>
    <w:p w:rsidR="00B63B22" w:rsidRPr="001D770F" w:rsidRDefault="005B2311" w:rsidP="00805C09">
      <w:pPr>
        <w:pStyle w:val="ListParagraph"/>
        <w:numPr>
          <w:ilvl w:val="0"/>
          <w:numId w:val="7"/>
        </w:numPr>
        <w:ind w:left="709" w:hanging="425"/>
        <w:rPr>
          <w:lang w:eastAsia="sv-SE"/>
        </w:rPr>
      </w:pPr>
      <w:bookmarkStart w:id="8" w:name="_Ref462753020"/>
      <w:bookmarkEnd w:id="5"/>
      <w:bookmarkEnd w:id="6"/>
      <w:bookmarkEnd w:id="7"/>
      <w:r w:rsidRPr="00805C09">
        <w:rPr>
          <w:rFonts w:ascii="Times New Roman" w:hAnsi="Times New Roman" w:cs="Times New Roman"/>
          <w:sz w:val="20"/>
          <w:szCs w:val="20"/>
          <w:lang w:eastAsia="sv-SE"/>
        </w:rPr>
        <w:t>R1-</w:t>
      </w:r>
      <w:r w:rsidR="00976D92">
        <w:rPr>
          <w:rFonts w:ascii="Times New Roman" w:hAnsi="Times New Roman" w:cs="Times New Roman"/>
          <w:sz w:val="20"/>
          <w:szCs w:val="20"/>
          <w:lang w:eastAsia="sv-SE"/>
        </w:rPr>
        <w:t>1612934</w:t>
      </w:r>
      <w:r w:rsidRPr="00805C09">
        <w:rPr>
          <w:rFonts w:ascii="Times New Roman" w:hAnsi="Times New Roman" w:cs="Times New Roman"/>
          <w:sz w:val="20"/>
          <w:szCs w:val="20"/>
          <w:lang w:eastAsia="sv-SE"/>
        </w:rPr>
        <w:tab/>
        <w:t>Congestion Control Framework for V2V,</w:t>
      </w:r>
      <w:r w:rsidRPr="00805C09">
        <w:rPr>
          <w:rFonts w:ascii="Times New Roman" w:hAnsi="Times New Roman" w:cs="Times New Roman"/>
          <w:sz w:val="20"/>
          <w:szCs w:val="20"/>
          <w:lang w:eastAsia="sv-SE"/>
        </w:rPr>
        <w:tab/>
        <w:t>Ericsson</w:t>
      </w:r>
      <w:bookmarkEnd w:id="8"/>
      <w:r w:rsidR="00B00795">
        <w:rPr>
          <w:rFonts w:ascii="Times New Roman" w:hAnsi="Times New Roman" w:cs="Times New Roman"/>
          <w:sz w:val="20"/>
          <w:szCs w:val="20"/>
          <w:lang w:eastAsia="sv-SE"/>
        </w:rPr>
        <w:t>, Nov. 2016</w:t>
      </w:r>
    </w:p>
    <w:p w:rsidR="00740A2E" w:rsidRPr="00805C09" w:rsidRDefault="002164AA" w:rsidP="001D770F">
      <w:pPr>
        <w:pStyle w:val="ListParagraph"/>
        <w:numPr>
          <w:ilvl w:val="0"/>
          <w:numId w:val="7"/>
        </w:numPr>
        <w:ind w:left="709" w:hanging="425"/>
        <w:rPr>
          <w:lang w:eastAsia="sv-SE"/>
        </w:rPr>
      </w:pPr>
      <w:bookmarkStart w:id="9" w:name="_Ref466022165"/>
      <w:r>
        <w:rPr>
          <w:lang w:eastAsia="sv-SE"/>
        </w:rPr>
        <w:t>R1-161</w:t>
      </w:r>
      <w:r w:rsidR="00976D92">
        <w:rPr>
          <w:lang w:eastAsia="sv-SE"/>
        </w:rPr>
        <w:t>2960</w:t>
      </w:r>
      <w:r>
        <w:rPr>
          <w:lang w:eastAsia="sv-SE"/>
        </w:rPr>
        <w:tab/>
      </w:r>
      <w:r w:rsidRPr="002164AA">
        <w:rPr>
          <w:lang w:eastAsia="sv-SE"/>
        </w:rPr>
        <w:t>On random resource selection for V2P</w:t>
      </w:r>
      <w:r w:rsidR="00E602CC">
        <w:rPr>
          <w:lang w:eastAsia="sv-SE"/>
        </w:rPr>
        <w:t>, Ericsson, Nov. 2016</w:t>
      </w:r>
      <w:bookmarkEnd w:id="9"/>
    </w:p>
    <w:p w:rsidR="001D7128" w:rsidRDefault="001D7128"/>
    <w:sectPr w:rsidR="001D7128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552" w:rsidRDefault="00E57552">
      <w:r>
        <w:separator/>
      </w:r>
    </w:p>
  </w:endnote>
  <w:endnote w:type="continuationSeparator" w:id="0">
    <w:p w:rsidR="00E57552" w:rsidRDefault="00E5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552" w:rsidRDefault="00E57552">
      <w:r>
        <w:separator/>
      </w:r>
    </w:p>
  </w:footnote>
  <w:footnote w:type="continuationSeparator" w:id="0">
    <w:p w:rsidR="00E57552" w:rsidRDefault="00E5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E06" w:rsidRDefault="00F52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3A1D26"/>
    <w:multiLevelType w:val="hybridMultilevel"/>
    <w:tmpl w:val="F7C03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C72"/>
    <w:multiLevelType w:val="hybridMultilevel"/>
    <w:tmpl w:val="5726D3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F45AB"/>
    <w:multiLevelType w:val="hybridMultilevel"/>
    <w:tmpl w:val="EABA6A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1548A"/>
    <w:multiLevelType w:val="hybridMultilevel"/>
    <w:tmpl w:val="FA6A6E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96FF7"/>
    <w:multiLevelType w:val="hybridMultilevel"/>
    <w:tmpl w:val="48729420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DFB7954"/>
    <w:multiLevelType w:val="hybridMultilevel"/>
    <w:tmpl w:val="DD106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D7669AB"/>
    <w:multiLevelType w:val="hybridMultilevel"/>
    <w:tmpl w:val="0178C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10"/>
  </w:num>
  <w:num w:numId="5">
    <w:abstractNumId w:val="13"/>
  </w:num>
  <w:num w:numId="6">
    <w:abstractNumId w:val="20"/>
  </w:num>
  <w:num w:numId="7">
    <w:abstractNumId w:val="18"/>
  </w:num>
  <w:num w:numId="8">
    <w:abstractNumId w:val="6"/>
  </w:num>
  <w:num w:numId="9">
    <w:abstractNumId w:val="4"/>
  </w:num>
  <w:num w:numId="10">
    <w:abstractNumId w:val="12"/>
  </w:num>
  <w:num w:numId="11">
    <w:abstractNumId w:val="14"/>
  </w:num>
  <w:num w:numId="12">
    <w:abstractNumId w:val="3"/>
  </w:num>
  <w:num w:numId="13">
    <w:abstractNumId w:val="17"/>
  </w:num>
  <w:num w:numId="14">
    <w:abstractNumId w:val="11"/>
  </w:num>
  <w:num w:numId="15">
    <w:abstractNumId w:val="2"/>
  </w:num>
  <w:num w:numId="16">
    <w:abstractNumId w:val="5"/>
  </w:num>
  <w:num w:numId="17">
    <w:abstractNumId w:val="1"/>
  </w:num>
  <w:num w:numId="18">
    <w:abstractNumId w:val="8"/>
  </w:num>
  <w:num w:numId="19">
    <w:abstractNumId w:val="9"/>
  </w:num>
  <w:num w:numId="2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62B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3ED8"/>
    <w:rsid w:val="00014189"/>
    <w:rsid w:val="00014490"/>
    <w:rsid w:val="00014645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13"/>
    <w:rsid w:val="0001722F"/>
    <w:rsid w:val="00017230"/>
    <w:rsid w:val="00017F32"/>
    <w:rsid w:val="00020418"/>
    <w:rsid w:val="00020E94"/>
    <w:rsid w:val="00021122"/>
    <w:rsid w:val="000215C7"/>
    <w:rsid w:val="00021874"/>
    <w:rsid w:val="000219AE"/>
    <w:rsid w:val="0002256D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3B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2D7A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9FD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054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6DC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6DC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A0D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D9C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3AF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47F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54C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5A97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0E5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7F5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3EF5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B34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6C3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128"/>
    <w:rsid w:val="001D770F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EB0"/>
    <w:rsid w:val="001F71A2"/>
    <w:rsid w:val="001F797C"/>
    <w:rsid w:val="001F7C6D"/>
    <w:rsid w:val="00200686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07B0"/>
    <w:rsid w:val="0021170A"/>
    <w:rsid w:val="00211E2A"/>
    <w:rsid w:val="00211EF3"/>
    <w:rsid w:val="00212AEC"/>
    <w:rsid w:val="00213665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4AA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BE5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9D0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515"/>
    <w:rsid w:val="002437A0"/>
    <w:rsid w:val="002438FF"/>
    <w:rsid w:val="00243F53"/>
    <w:rsid w:val="00244414"/>
    <w:rsid w:val="00244A05"/>
    <w:rsid w:val="00244C23"/>
    <w:rsid w:val="00244E05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0EA"/>
    <w:rsid w:val="0027134C"/>
    <w:rsid w:val="00271927"/>
    <w:rsid w:val="00271C92"/>
    <w:rsid w:val="00272126"/>
    <w:rsid w:val="0027229C"/>
    <w:rsid w:val="00272B02"/>
    <w:rsid w:val="00272D9B"/>
    <w:rsid w:val="002733EB"/>
    <w:rsid w:val="002737E5"/>
    <w:rsid w:val="00273A18"/>
    <w:rsid w:val="00273A94"/>
    <w:rsid w:val="00273A99"/>
    <w:rsid w:val="00273C90"/>
    <w:rsid w:val="002749F8"/>
    <w:rsid w:val="00274B40"/>
    <w:rsid w:val="002757C9"/>
    <w:rsid w:val="00275A0D"/>
    <w:rsid w:val="00275D12"/>
    <w:rsid w:val="002762F3"/>
    <w:rsid w:val="002766EB"/>
    <w:rsid w:val="00277301"/>
    <w:rsid w:val="002774A0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0DB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DA9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6F3F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A55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174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6C6E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97BB6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A84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8E"/>
    <w:rsid w:val="003B47D9"/>
    <w:rsid w:val="003B487E"/>
    <w:rsid w:val="003B56A2"/>
    <w:rsid w:val="003B5B17"/>
    <w:rsid w:val="003B6404"/>
    <w:rsid w:val="003B6511"/>
    <w:rsid w:val="003B65DD"/>
    <w:rsid w:val="003B674F"/>
    <w:rsid w:val="003B6EC2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4623"/>
    <w:rsid w:val="003E505A"/>
    <w:rsid w:val="003E526E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C94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3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5C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27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1B2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3E4B"/>
    <w:rsid w:val="004747DD"/>
    <w:rsid w:val="00474843"/>
    <w:rsid w:val="004748D9"/>
    <w:rsid w:val="004749E2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2FF"/>
    <w:rsid w:val="00483312"/>
    <w:rsid w:val="0048391B"/>
    <w:rsid w:val="00483D36"/>
    <w:rsid w:val="00483E0F"/>
    <w:rsid w:val="0048450B"/>
    <w:rsid w:val="0048451F"/>
    <w:rsid w:val="0048462D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6C9"/>
    <w:rsid w:val="00487948"/>
    <w:rsid w:val="00487A27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6DEC"/>
    <w:rsid w:val="00497A64"/>
    <w:rsid w:val="00497D0B"/>
    <w:rsid w:val="00497DFA"/>
    <w:rsid w:val="004A006C"/>
    <w:rsid w:val="004A0472"/>
    <w:rsid w:val="004A065A"/>
    <w:rsid w:val="004A079C"/>
    <w:rsid w:val="004A07B0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298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554"/>
    <w:rsid w:val="004D3639"/>
    <w:rsid w:val="004D36AF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1A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2C2A"/>
    <w:rsid w:val="005131E8"/>
    <w:rsid w:val="00513786"/>
    <w:rsid w:val="005138D0"/>
    <w:rsid w:val="0051399C"/>
    <w:rsid w:val="00513A86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171F"/>
    <w:rsid w:val="005220E2"/>
    <w:rsid w:val="005220E8"/>
    <w:rsid w:val="005222BB"/>
    <w:rsid w:val="00522C62"/>
    <w:rsid w:val="00522D79"/>
    <w:rsid w:val="00522F4F"/>
    <w:rsid w:val="0052314C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2F"/>
    <w:rsid w:val="00527814"/>
    <w:rsid w:val="00527EFF"/>
    <w:rsid w:val="00531351"/>
    <w:rsid w:val="005314BE"/>
    <w:rsid w:val="005316DD"/>
    <w:rsid w:val="00531C10"/>
    <w:rsid w:val="00531D66"/>
    <w:rsid w:val="00532078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9ED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778D7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87E69"/>
    <w:rsid w:val="005900BD"/>
    <w:rsid w:val="005901B5"/>
    <w:rsid w:val="00590667"/>
    <w:rsid w:val="0059069A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311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11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E64"/>
    <w:rsid w:val="005C3F88"/>
    <w:rsid w:val="005C4909"/>
    <w:rsid w:val="005C490F"/>
    <w:rsid w:val="005C4975"/>
    <w:rsid w:val="005C4F9B"/>
    <w:rsid w:val="005C538F"/>
    <w:rsid w:val="005C5461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3FAC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2F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909"/>
    <w:rsid w:val="00624C2B"/>
    <w:rsid w:val="00624D8C"/>
    <w:rsid w:val="00625452"/>
    <w:rsid w:val="00625615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D97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2C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639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8B1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0CB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11D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47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C9E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8C4"/>
    <w:rsid w:val="006F0EB6"/>
    <w:rsid w:val="006F1086"/>
    <w:rsid w:val="006F115A"/>
    <w:rsid w:val="006F1C64"/>
    <w:rsid w:val="006F1EC8"/>
    <w:rsid w:val="006F2BCE"/>
    <w:rsid w:val="006F35E8"/>
    <w:rsid w:val="006F3B84"/>
    <w:rsid w:val="006F3C06"/>
    <w:rsid w:val="006F3E63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3B7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A2E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0D1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3E3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C29"/>
    <w:rsid w:val="00774C8B"/>
    <w:rsid w:val="00774C9E"/>
    <w:rsid w:val="00775074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57B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4E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277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1DE5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57"/>
    <w:rsid w:val="00803DB4"/>
    <w:rsid w:val="008041F4"/>
    <w:rsid w:val="008042B5"/>
    <w:rsid w:val="0080575D"/>
    <w:rsid w:val="008057CA"/>
    <w:rsid w:val="00805C09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5EE"/>
    <w:rsid w:val="008168FE"/>
    <w:rsid w:val="00816BC0"/>
    <w:rsid w:val="00817B5F"/>
    <w:rsid w:val="00820150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45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3F03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01E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74F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26F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D9"/>
    <w:rsid w:val="00877733"/>
    <w:rsid w:val="00877D07"/>
    <w:rsid w:val="00880485"/>
    <w:rsid w:val="00880C36"/>
    <w:rsid w:val="00880F8C"/>
    <w:rsid w:val="0088137C"/>
    <w:rsid w:val="0088139A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446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90C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21D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9F3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5FA7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1511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3A8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D92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083"/>
    <w:rsid w:val="00997510"/>
    <w:rsid w:val="00997535"/>
    <w:rsid w:val="009975A8"/>
    <w:rsid w:val="00997805"/>
    <w:rsid w:val="00997BEA"/>
    <w:rsid w:val="00997DCC"/>
    <w:rsid w:val="00997FB8"/>
    <w:rsid w:val="00997FEC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3ECB"/>
    <w:rsid w:val="009B4F22"/>
    <w:rsid w:val="009B520F"/>
    <w:rsid w:val="009B5968"/>
    <w:rsid w:val="009B6D42"/>
    <w:rsid w:val="009B6F62"/>
    <w:rsid w:val="009B6F6E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39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0CB7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1FA9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E3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0507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A0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384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0F6"/>
    <w:rsid w:val="00A34467"/>
    <w:rsid w:val="00A34E1D"/>
    <w:rsid w:val="00A34F5C"/>
    <w:rsid w:val="00A34F64"/>
    <w:rsid w:val="00A3542A"/>
    <w:rsid w:val="00A364D1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2F56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6D9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682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15F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C3E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30E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3B3"/>
    <w:rsid w:val="00AF5581"/>
    <w:rsid w:val="00AF56FC"/>
    <w:rsid w:val="00AF6127"/>
    <w:rsid w:val="00AF64CD"/>
    <w:rsid w:val="00AF6553"/>
    <w:rsid w:val="00AF65A6"/>
    <w:rsid w:val="00AF6D09"/>
    <w:rsid w:val="00AF72B7"/>
    <w:rsid w:val="00AF73A8"/>
    <w:rsid w:val="00AF7917"/>
    <w:rsid w:val="00AF798A"/>
    <w:rsid w:val="00AF7C3C"/>
    <w:rsid w:val="00B004E7"/>
    <w:rsid w:val="00B00521"/>
    <w:rsid w:val="00B00795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6BB"/>
    <w:rsid w:val="00B06793"/>
    <w:rsid w:val="00B06DEE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4F58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5BB"/>
    <w:rsid w:val="00B407A1"/>
    <w:rsid w:val="00B40D43"/>
    <w:rsid w:val="00B41AE9"/>
    <w:rsid w:val="00B4256E"/>
    <w:rsid w:val="00B42623"/>
    <w:rsid w:val="00B4269A"/>
    <w:rsid w:val="00B42A95"/>
    <w:rsid w:val="00B42CA1"/>
    <w:rsid w:val="00B42DA9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854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2D5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8B1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4FA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175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48A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A08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6B8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38"/>
    <w:rsid w:val="00C7235C"/>
    <w:rsid w:val="00C72645"/>
    <w:rsid w:val="00C72D46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DA5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90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79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42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6F57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913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8AB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ADC"/>
    <w:rsid w:val="00CF3C25"/>
    <w:rsid w:val="00CF4276"/>
    <w:rsid w:val="00CF4B41"/>
    <w:rsid w:val="00CF53BE"/>
    <w:rsid w:val="00CF54D5"/>
    <w:rsid w:val="00CF55E0"/>
    <w:rsid w:val="00CF5CC0"/>
    <w:rsid w:val="00CF6108"/>
    <w:rsid w:val="00CF6753"/>
    <w:rsid w:val="00CF698E"/>
    <w:rsid w:val="00CF71D3"/>
    <w:rsid w:val="00CF72C7"/>
    <w:rsid w:val="00CF79D5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2B3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575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0FE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3F5F"/>
    <w:rsid w:val="00D545A7"/>
    <w:rsid w:val="00D547C4"/>
    <w:rsid w:val="00D54BBF"/>
    <w:rsid w:val="00D54D28"/>
    <w:rsid w:val="00D54FD5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EA4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48B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42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06A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23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4C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5A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C787D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6C5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3347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33C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468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05F1"/>
    <w:rsid w:val="00E11913"/>
    <w:rsid w:val="00E11986"/>
    <w:rsid w:val="00E122AC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997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8F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2C7"/>
    <w:rsid w:val="00E41681"/>
    <w:rsid w:val="00E4181C"/>
    <w:rsid w:val="00E42115"/>
    <w:rsid w:val="00E423D4"/>
    <w:rsid w:val="00E425F7"/>
    <w:rsid w:val="00E428F6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552"/>
    <w:rsid w:val="00E57BB3"/>
    <w:rsid w:val="00E602CC"/>
    <w:rsid w:val="00E60990"/>
    <w:rsid w:val="00E60A3C"/>
    <w:rsid w:val="00E60DEC"/>
    <w:rsid w:val="00E611F6"/>
    <w:rsid w:val="00E6132B"/>
    <w:rsid w:val="00E61DCA"/>
    <w:rsid w:val="00E62E63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4AC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35F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54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D8A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5EF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310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9AF"/>
    <w:rsid w:val="00F12C4A"/>
    <w:rsid w:val="00F12D76"/>
    <w:rsid w:val="00F12FB1"/>
    <w:rsid w:val="00F13AFA"/>
    <w:rsid w:val="00F13C63"/>
    <w:rsid w:val="00F13D08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6ABD"/>
    <w:rsid w:val="00F46AC9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0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481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8FA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5:docId w15:val="{8ECB5582-9592-4144-ADE5-AE5DEA59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6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9040D-B3B5-425F-B4E2-4AFE707B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Stefano Sorrentino</cp:lastModifiedBy>
  <cp:revision>23</cp:revision>
  <dcterms:created xsi:type="dcterms:W3CDTF">2016-11-02T15:06:00Z</dcterms:created>
  <dcterms:modified xsi:type="dcterms:W3CDTF">2016-11-04T18:43:00Z</dcterms:modified>
</cp:coreProperties>
</file>